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960" w:rightChars="400"/>
        <w:rPr>
          <w:rStyle w:val="13"/>
          <w:rFonts w:hint="eastAsia" w:ascii="Times New Roman" w:hAnsi="Times New Roman" w:eastAsia="黑体" w:cs="Times New Roman"/>
          <w:b w:val="0"/>
          <w:sz w:val="32"/>
          <w:szCs w:val="32"/>
          <w:lang w:bidi="ar-SA"/>
        </w:rPr>
      </w:pPr>
      <w:bookmarkStart w:id="0" w:name="_GoBack"/>
      <w:bookmarkEnd w:id="0"/>
      <w:r>
        <w:rPr>
          <w:rStyle w:val="13"/>
          <w:rFonts w:hint="eastAsia" w:ascii="Times New Roman" w:hAnsi="Times New Roman" w:eastAsia="黑体" w:cs="Times New Roman"/>
          <w:b w:val="0"/>
          <w:sz w:val="32"/>
          <w:szCs w:val="32"/>
          <w:lang w:bidi="ar-SA"/>
        </w:rPr>
        <w:t>附件2</w:t>
      </w:r>
    </w:p>
    <w:p>
      <w:pPr>
        <w:spacing w:line="580" w:lineRule="exact"/>
        <w:ind w:right="960" w:rightChars="400"/>
        <w:rPr>
          <w:rStyle w:val="13"/>
          <w:rFonts w:hint="eastAsia" w:ascii="Times New Roman" w:hAnsi="Times New Roman" w:eastAsia="黑体" w:cs="Times New Roman"/>
          <w:b w:val="0"/>
          <w:sz w:val="32"/>
          <w:szCs w:val="32"/>
          <w:lang w:bidi="ar-SA"/>
        </w:rPr>
      </w:pPr>
    </w:p>
    <w:p>
      <w:pPr>
        <w:jc w:val="center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2021年度四川省青少年科技教育工作</w:t>
      </w:r>
    </w:p>
    <w:p>
      <w:pPr>
        <w:spacing w:before="163" w:beforeLines="50" w:after="488" w:afterLines="150" w:line="700" w:lineRule="exact"/>
        <w:jc w:val="center"/>
        <w:rPr>
          <w:rFonts w:hint="eastAsia" w:ascii="方正小标宋_GBK" w:eastAsia="方正小标宋_GBK"/>
          <w:sz w:val="36"/>
          <w:szCs w:val="32"/>
        </w:rPr>
      </w:pPr>
      <w:r>
        <w:rPr>
          <w:rFonts w:hint="eastAsia" w:ascii="方正小标宋_GBK" w:eastAsia="方正小标宋_GBK"/>
          <w:sz w:val="36"/>
          <w:szCs w:val="32"/>
        </w:rPr>
        <w:t>总结研讨会日程安排（拟）</w:t>
      </w:r>
    </w:p>
    <w:tbl>
      <w:tblPr>
        <w:tblStyle w:val="11"/>
        <w:tblW w:w="92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52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Times New Roman"/>
                <w:sz w:val="28"/>
                <w:szCs w:val="24"/>
                <w:lang w:bidi="ar-SA"/>
              </w:rPr>
            </w:pPr>
            <w:r>
              <w:rPr>
                <w:rFonts w:hint="eastAsia" w:ascii="黑体" w:eastAsia="黑体" w:cs="Times New Roman"/>
                <w:sz w:val="28"/>
                <w:szCs w:val="24"/>
                <w:lang w:bidi="ar-SA"/>
              </w:rPr>
              <w:t>日  期</w:t>
            </w:r>
          </w:p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Times New Roman"/>
                <w:sz w:val="28"/>
                <w:szCs w:val="24"/>
                <w:lang w:bidi="ar-SA"/>
              </w:rPr>
            </w:pPr>
            <w:r>
              <w:rPr>
                <w:rFonts w:hint="eastAsia" w:ascii="黑体" w:eastAsia="黑体" w:cs="Times New Roman"/>
                <w:sz w:val="28"/>
                <w:szCs w:val="24"/>
                <w:lang w:bidi="ar-SA"/>
              </w:rPr>
              <w:t>时  间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 w:cs="Times New Roman"/>
                <w:sz w:val="28"/>
                <w:szCs w:val="24"/>
                <w:lang w:bidi="ar-SA"/>
              </w:rPr>
            </w:pPr>
            <w:r>
              <w:rPr>
                <w:rFonts w:hint="eastAsia" w:ascii="黑体" w:eastAsia="黑体" w:cs="Times New Roman"/>
                <w:sz w:val="28"/>
                <w:szCs w:val="24"/>
                <w:lang w:bidi="ar-SA"/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12月29日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星期三</w:t>
            </w:r>
          </w:p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下午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12月30日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星期四</w:t>
            </w:r>
          </w:p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07:30-09:00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09:00-09:30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2021年工作总结及2022年工作设想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09:30-09:40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四川省科协领导讲话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09:40-10:20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2021年度先进集体和先进个人的表彰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10:20-10:40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10:40-12:00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青少年中心各项目主管作总结汇报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12:00-13:00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14:30-15:30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青少年中心各项目主管作总结汇报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15:30-17:00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市州优秀组织工作者作经验交流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18:00-19:00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12月31日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星期五</w:t>
            </w:r>
          </w:p>
        </w:tc>
        <w:tc>
          <w:tcPr>
            <w:tcW w:w="252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全天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4"/>
                <w:lang w:bidi="ar-SA"/>
              </w:rPr>
              <w:t>离会</w:t>
            </w:r>
          </w:p>
        </w:tc>
      </w:tr>
    </w:tbl>
    <w:p>
      <w:pPr>
        <w:spacing w:line="400" w:lineRule="exact"/>
        <w:rPr>
          <w:rFonts w:hint="eastAsia"/>
          <w:szCs w:val="24"/>
          <w:lang w:val="de-DE" w:eastAsia="de-DE"/>
        </w:rPr>
      </w:pPr>
    </w:p>
    <w:p/>
    <w:p>
      <w:pPr>
        <w:jc w:val="both"/>
        <w:rPr>
          <w:rFonts w:eastAsia="方正仿宋_GBK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6BDFFCFB" w:usb2="00800036" w:usb3="00000000" w:csb0="603E019F" w:csb1="DFD7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B7"/>
    <w:rsid w:val="63CE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泉驿微米黑" w:hAnsi="文泉驿微米黑" w:eastAsia="方正仿宋简体" w:cs="文泉驿微米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eastAsia="宋体" w:cs="文泉驿微米黑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3">
    <w:name w:val="Strong"/>
    <w:uiPriority w:val="0"/>
    <w:rPr>
      <w:b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默认段落字体1"/>
    <w:uiPriority w:val="0"/>
  </w:style>
  <w:style w:type="paragraph" w:customStyle="1" w:styleId="17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2021-12-10T08:03:00Z</dcterms:created>
  <dc:creator>Microsoft</dc:creator>
  <cp:lastModifiedBy>娟-</cp:lastModifiedBy>
  <dcterms:modified xsi:type="dcterms:W3CDTF">2021-12-10T09:29:23Z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82243CA5B9034891B56578BD68758DEE</vt:lpwstr>
  </property>
</Properties>
</file>